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892" w:type="dxa"/>
        <w:tblLayout w:type="fixed"/>
        <w:tblCellMar>
          <w:left w:w="0" w:type="dxa"/>
          <w:right w:w="0" w:type="dxa"/>
        </w:tblCellMar>
        <w:tblLook w:val="0000"/>
      </w:tblPr>
      <w:tblGrid>
        <w:gridCol w:w="1440"/>
        <w:gridCol w:w="2070"/>
        <w:gridCol w:w="6930"/>
      </w:tblGrid>
      <w:tr w:rsidR="00726066" w:rsidRPr="005F2B69" w:rsidTr="00AC06B4">
        <w:trPr>
          <w:cantSplit/>
        </w:trPr>
        <w:tc>
          <w:tcPr>
            <w:tcW w:w="1440" w:type="dxa"/>
          </w:tcPr>
          <w:p w:rsidR="00726066" w:rsidRPr="005F2B69" w:rsidRDefault="00726066" w:rsidP="00AC06B4">
            <w:pPr>
              <w:pStyle w:val="PRODUCT"/>
              <w:spacing w:before="0"/>
              <w:ind w:firstLine="0"/>
            </w:pPr>
            <w:bookmarkStart w:id="0" w:name="tab4"/>
            <w:r w:rsidRPr="005F2B69">
              <w:sym w:font="Symbol" w:char="F020"/>
            </w:r>
          </w:p>
          <w:p w:rsidR="00726066" w:rsidRPr="005F2B69" w:rsidRDefault="00726066" w:rsidP="00AC06B4">
            <w:pPr>
              <w:pStyle w:val="AFSPACECOM"/>
              <w:ind w:firstLine="0"/>
            </w:pPr>
            <w:r w:rsidRPr="005F2B69">
              <w:sym w:font="Symbol" w:char="F020"/>
            </w:r>
          </w:p>
        </w:tc>
        <w:tc>
          <w:tcPr>
            <w:tcW w:w="2070" w:type="dxa"/>
          </w:tcPr>
          <w:p w:rsidR="00726066" w:rsidRPr="005F2B69" w:rsidRDefault="00726066" w:rsidP="00AC06B4">
            <w:pPr>
              <w:jc w:val="center"/>
            </w:pPr>
            <w:r w:rsidRPr="005F2B69">
              <w:rPr>
                <w:noProof/>
              </w:rPr>
              <w:drawing>
                <wp:inline distT="0" distB="0" distL="0" distR="0">
                  <wp:extent cx="1181100" cy="11525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81100" cy="1152525"/>
                          </a:xfrm>
                          <a:prstGeom prst="rect">
                            <a:avLst/>
                          </a:prstGeom>
                          <a:noFill/>
                          <a:ln w="9525">
                            <a:noFill/>
                            <a:miter lim="800000"/>
                            <a:headEnd/>
                            <a:tailEnd/>
                          </a:ln>
                        </pic:spPr>
                      </pic:pic>
                    </a:graphicData>
                  </a:graphic>
                </wp:inline>
              </w:drawing>
            </w:r>
          </w:p>
        </w:tc>
        <w:tc>
          <w:tcPr>
            <w:tcW w:w="6930" w:type="dxa"/>
          </w:tcPr>
          <w:p w:rsidR="00726066" w:rsidRPr="005F2B69" w:rsidRDefault="001E109F" w:rsidP="00AC06B4">
            <w:pPr>
              <w:pStyle w:val="PRODUCT"/>
              <w:spacing w:before="0"/>
              <w:ind w:firstLine="0"/>
              <w:rPr>
                <w:i/>
                <w:iCs/>
                <w:sz w:val="56"/>
                <w:szCs w:val="56"/>
              </w:rPr>
            </w:pPr>
            <w:r>
              <w:rPr>
                <w:sz w:val="56"/>
                <w:szCs w:val="56"/>
              </w:rPr>
              <w:t>MEDIA ADVISORY</w:t>
            </w:r>
            <w:r w:rsidR="00726066" w:rsidRPr="005F2B69">
              <w:rPr>
                <w:sz w:val="56"/>
                <w:szCs w:val="56"/>
              </w:rPr>
              <w:tab/>
            </w:r>
          </w:p>
          <w:p w:rsidR="00726066" w:rsidRPr="005F2B69" w:rsidRDefault="00726066" w:rsidP="00AC06B4">
            <w:pPr>
              <w:pStyle w:val="AFSPACECOM"/>
              <w:ind w:firstLine="0"/>
              <w:rPr>
                <w:rFonts w:ascii="Times New Roman" w:hAnsi="Times New Roman"/>
                <w:sz w:val="38"/>
                <w:szCs w:val="38"/>
              </w:rPr>
            </w:pPr>
            <w:r w:rsidRPr="005F2B69">
              <w:t>AIR FORCE SPACE COMMAND</w:t>
            </w:r>
          </w:p>
          <w:p w:rsidR="00726066" w:rsidRPr="005F2B69" w:rsidRDefault="00726066" w:rsidP="00AC06B4">
            <w:pPr>
              <w:pStyle w:val="Folio"/>
              <w:spacing w:before="0"/>
              <w:ind w:firstLine="0"/>
              <w:rPr>
                <w:rFonts w:ascii="Times New Roman" w:hAnsi="Times New Roman"/>
                <w:sz w:val="72"/>
                <w:szCs w:val="72"/>
              </w:rPr>
            </w:pPr>
            <w:r w:rsidRPr="005F2B69">
              <w:t>Directorate of Public Affairs, 150 Vandenberg St, Suite 1105,  Peterson AFB, CO 80914-4500  Phone (719) 554-3731</w:t>
            </w:r>
          </w:p>
        </w:tc>
      </w:tr>
    </w:tbl>
    <w:p w:rsidR="0069497C" w:rsidRPr="005F2B69" w:rsidRDefault="00D82B35" w:rsidP="00D82B35">
      <w:pPr>
        <w:ind w:firstLine="720"/>
        <w:jc w:val="right"/>
        <w:rPr>
          <w:rFonts w:ascii="Arial" w:hAnsi="Arial" w:cs="Arial"/>
          <w:b/>
          <w:sz w:val="20"/>
          <w:szCs w:val="20"/>
        </w:rPr>
      </w:pPr>
      <w:r>
        <w:rPr>
          <w:rFonts w:ascii="Arial" w:hAnsi="Arial" w:cs="Arial"/>
          <w:b/>
          <w:sz w:val="20"/>
          <w:szCs w:val="20"/>
        </w:rPr>
        <w:t xml:space="preserve">     </w:t>
      </w:r>
      <w:r w:rsidR="0069497C" w:rsidRPr="005F2B69">
        <w:rPr>
          <w:rFonts w:ascii="Arial" w:hAnsi="Arial" w:cs="Arial"/>
          <w:b/>
          <w:sz w:val="20"/>
          <w:szCs w:val="20"/>
        </w:rPr>
        <w:t>FOR IMM</w:t>
      </w:r>
      <w:r w:rsidR="002E2CC6">
        <w:rPr>
          <w:rFonts w:ascii="Arial" w:hAnsi="Arial" w:cs="Arial"/>
          <w:b/>
          <w:sz w:val="20"/>
          <w:szCs w:val="20"/>
        </w:rPr>
        <w:t>EDIATE RELEASE</w:t>
      </w:r>
      <w:r w:rsidR="002E2CC6">
        <w:rPr>
          <w:rFonts w:ascii="Arial" w:hAnsi="Arial" w:cs="Arial"/>
          <w:b/>
          <w:sz w:val="20"/>
          <w:szCs w:val="20"/>
        </w:rPr>
        <w:br/>
        <w:t>Release No: 1</w:t>
      </w:r>
      <w:r w:rsidR="0054753A">
        <w:rPr>
          <w:rFonts w:ascii="Arial" w:hAnsi="Arial" w:cs="Arial"/>
          <w:b/>
          <w:sz w:val="20"/>
          <w:szCs w:val="20"/>
        </w:rPr>
        <w:t>1</w:t>
      </w:r>
      <w:r w:rsidR="002E2CC6">
        <w:rPr>
          <w:rFonts w:ascii="Arial" w:hAnsi="Arial" w:cs="Arial"/>
          <w:b/>
          <w:sz w:val="20"/>
          <w:szCs w:val="20"/>
        </w:rPr>
        <w:t>-</w:t>
      </w:r>
      <w:r w:rsidR="00670723">
        <w:rPr>
          <w:rFonts w:ascii="Arial" w:hAnsi="Arial" w:cs="Arial"/>
          <w:b/>
          <w:sz w:val="20"/>
          <w:szCs w:val="20"/>
        </w:rPr>
        <w:t>10</w:t>
      </w:r>
      <w:r w:rsidR="002E2CC6">
        <w:rPr>
          <w:rFonts w:ascii="Arial" w:hAnsi="Arial" w:cs="Arial"/>
          <w:b/>
          <w:sz w:val="20"/>
          <w:szCs w:val="20"/>
        </w:rPr>
        <w:t>-</w:t>
      </w:r>
      <w:r w:rsidR="00E52E0B">
        <w:rPr>
          <w:rFonts w:ascii="Arial" w:hAnsi="Arial" w:cs="Arial"/>
          <w:b/>
          <w:sz w:val="20"/>
          <w:szCs w:val="20"/>
        </w:rPr>
        <w:t>01</w:t>
      </w:r>
    </w:p>
    <w:p w:rsidR="0069497C" w:rsidRPr="00D82B35" w:rsidRDefault="00670723" w:rsidP="00D82B35">
      <w:pPr>
        <w:jc w:val="right"/>
        <w:rPr>
          <w:rFonts w:ascii="Arial" w:hAnsi="Arial" w:cs="Arial"/>
          <w:b/>
          <w:sz w:val="20"/>
          <w:szCs w:val="20"/>
        </w:rPr>
      </w:pPr>
      <w:r>
        <w:rPr>
          <w:rFonts w:ascii="Arial" w:hAnsi="Arial" w:cs="Arial"/>
          <w:b/>
          <w:sz w:val="20"/>
          <w:szCs w:val="20"/>
        </w:rPr>
        <w:t>Oct</w:t>
      </w:r>
      <w:r w:rsidR="0054753A">
        <w:rPr>
          <w:rFonts w:ascii="Arial" w:hAnsi="Arial" w:cs="Arial"/>
          <w:b/>
          <w:sz w:val="20"/>
          <w:szCs w:val="20"/>
        </w:rPr>
        <w:t xml:space="preserve">. </w:t>
      </w:r>
      <w:r>
        <w:rPr>
          <w:rFonts w:ascii="Arial" w:hAnsi="Arial" w:cs="Arial"/>
          <w:b/>
          <w:sz w:val="20"/>
          <w:szCs w:val="20"/>
        </w:rPr>
        <w:t>12</w:t>
      </w:r>
      <w:r w:rsidR="0069497C" w:rsidRPr="005F2B69">
        <w:rPr>
          <w:rFonts w:ascii="Arial" w:hAnsi="Arial" w:cs="Arial"/>
          <w:b/>
          <w:sz w:val="20"/>
          <w:szCs w:val="20"/>
        </w:rPr>
        <w:t>, 201</w:t>
      </w:r>
      <w:r w:rsidR="0054753A">
        <w:rPr>
          <w:rFonts w:ascii="Arial" w:hAnsi="Arial" w:cs="Arial"/>
          <w:b/>
          <w:sz w:val="20"/>
          <w:szCs w:val="20"/>
        </w:rPr>
        <w:t>1</w:t>
      </w:r>
      <w:r w:rsidR="00D82B35">
        <w:rPr>
          <w:rFonts w:ascii="Arial" w:hAnsi="Arial" w:cs="Arial"/>
          <w:b/>
          <w:sz w:val="20"/>
          <w:szCs w:val="20"/>
        </w:rPr>
        <w:br/>
      </w:r>
    </w:p>
    <w:p w:rsidR="00A32A95" w:rsidRDefault="004E05CD">
      <w:pPr>
        <w:rPr>
          <w:b/>
          <w:sz w:val="28"/>
          <w:szCs w:val="28"/>
        </w:rPr>
      </w:pPr>
      <w:r w:rsidRPr="004E05CD">
        <w:rPr>
          <w:b/>
          <w:sz w:val="28"/>
          <w:szCs w:val="28"/>
        </w:rPr>
        <w:t xml:space="preserve">Flying operations of remotely piloted aircraft unaffected by malware </w:t>
      </w:r>
    </w:p>
    <w:p w:rsidR="005C6F23" w:rsidRDefault="005C6F23">
      <w:pPr>
        <w:rPr>
          <w:b/>
          <w:i/>
          <w:sz w:val="28"/>
          <w:szCs w:val="28"/>
        </w:rPr>
      </w:pPr>
    </w:p>
    <w:p w:rsidR="004E05CD" w:rsidRDefault="006B4934" w:rsidP="004E05CD">
      <w:pPr>
        <w:rPr>
          <w:sz w:val="22"/>
          <w:szCs w:val="22"/>
        </w:rPr>
      </w:pPr>
      <w:r w:rsidRPr="005C6F23">
        <w:rPr>
          <w:b/>
          <w:sz w:val="22"/>
          <w:szCs w:val="22"/>
        </w:rPr>
        <w:t>PETERSON AIR FORCE BASE, Colo.</w:t>
      </w:r>
      <w:r w:rsidRPr="005C6F23">
        <w:rPr>
          <w:sz w:val="22"/>
          <w:szCs w:val="22"/>
        </w:rPr>
        <w:t xml:space="preserve"> –</w:t>
      </w:r>
      <w:bookmarkEnd w:id="0"/>
      <w:r w:rsidR="004E05CD">
        <w:rPr>
          <w:sz w:val="22"/>
          <w:szCs w:val="22"/>
        </w:rPr>
        <w:t xml:space="preserve"> </w:t>
      </w:r>
      <w:r w:rsidR="004E05CD" w:rsidRPr="004E05CD">
        <w:rPr>
          <w:sz w:val="22"/>
          <w:szCs w:val="22"/>
        </w:rPr>
        <w:t>To correct recent reporting, the malware detected on stand-alone systems on Creech Air Force Base, Nev., in September, has not affected Remotely Piloted Aircraft operations.</w:t>
      </w:r>
    </w:p>
    <w:p w:rsidR="004E05CD" w:rsidRPr="004E05CD" w:rsidRDefault="004E05CD" w:rsidP="004E05CD">
      <w:pPr>
        <w:rPr>
          <w:sz w:val="22"/>
          <w:szCs w:val="22"/>
        </w:rPr>
      </w:pPr>
    </w:p>
    <w:p w:rsidR="004E05CD" w:rsidRDefault="00E12555" w:rsidP="004E05CD">
      <w:pPr>
        <w:rPr>
          <w:sz w:val="22"/>
          <w:szCs w:val="22"/>
        </w:rPr>
      </w:pPr>
      <w:r>
        <w:rPr>
          <w:sz w:val="22"/>
          <w:szCs w:val="22"/>
        </w:rPr>
        <w:t>On 15 September, 24</w:t>
      </w:r>
      <w:r w:rsidRPr="00E12555">
        <w:rPr>
          <w:sz w:val="22"/>
          <w:szCs w:val="22"/>
          <w:vertAlign w:val="superscript"/>
        </w:rPr>
        <w:t>th</w:t>
      </w:r>
      <w:r>
        <w:rPr>
          <w:sz w:val="22"/>
          <w:szCs w:val="22"/>
        </w:rPr>
        <w:t xml:space="preserve"> AF first detected and subsequently notified Creech AFB regarding the malware on their </w:t>
      </w:r>
      <w:r w:rsidR="004E05CD" w:rsidRPr="004E05CD">
        <w:rPr>
          <w:sz w:val="22"/>
          <w:szCs w:val="22"/>
        </w:rPr>
        <w:t>portable hard drives approved for transferring information between systems</w:t>
      </w:r>
      <w:r>
        <w:rPr>
          <w:sz w:val="22"/>
          <w:szCs w:val="22"/>
        </w:rPr>
        <w:t>.</w:t>
      </w:r>
      <w:r w:rsidR="004E05CD" w:rsidRPr="004E05CD">
        <w:rPr>
          <w:sz w:val="22"/>
          <w:szCs w:val="22"/>
        </w:rPr>
        <w:t xml:space="preserve">  It was detected and isolated by the 24</w:t>
      </w:r>
      <w:r w:rsidR="004E05CD" w:rsidRPr="004E05CD">
        <w:rPr>
          <w:sz w:val="22"/>
          <w:szCs w:val="22"/>
          <w:vertAlign w:val="superscript"/>
        </w:rPr>
        <w:t>th</w:t>
      </w:r>
      <w:r w:rsidR="004E05CD" w:rsidRPr="004E05CD">
        <w:rPr>
          <w:sz w:val="22"/>
          <w:szCs w:val="22"/>
        </w:rPr>
        <w:t xml:space="preserve"> Air Force using standard tools and processes for monitoring and protecting Air Force computer systems and networks.  The Air Force then began a forensic process to track the origin of the malware and clean the infected systems.</w:t>
      </w:r>
    </w:p>
    <w:p w:rsidR="004E05CD" w:rsidRPr="004E05CD" w:rsidRDefault="004E05CD" w:rsidP="004E05CD">
      <w:pPr>
        <w:rPr>
          <w:sz w:val="22"/>
          <w:szCs w:val="22"/>
        </w:rPr>
      </w:pPr>
    </w:p>
    <w:p w:rsidR="004E05CD" w:rsidRDefault="004E05CD" w:rsidP="004E05CD">
      <w:pPr>
        <w:rPr>
          <w:sz w:val="22"/>
          <w:szCs w:val="22"/>
        </w:rPr>
      </w:pPr>
      <w:r w:rsidRPr="004E05CD">
        <w:rPr>
          <w:sz w:val="22"/>
          <w:szCs w:val="22"/>
        </w:rPr>
        <w:t xml:space="preserve">The malware was detected on a stand-alone mission support network using a Windows-based operating system.  The malware in question is a credential stealer, not a </w:t>
      </w:r>
      <w:proofErr w:type="spellStart"/>
      <w:r w:rsidRPr="004E05CD">
        <w:rPr>
          <w:sz w:val="22"/>
          <w:szCs w:val="22"/>
        </w:rPr>
        <w:t>keylogger</w:t>
      </w:r>
      <w:proofErr w:type="spellEnd"/>
      <w:r w:rsidRPr="004E05CD">
        <w:rPr>
          <w:sz w:val="22"/>
          <w:szCs w:val="22"/>
        </w:rPr>
        <w:t xml:space="preserve">, found routinely on computer networks and is considered more of a nuisance than an operational threat.  It is not designed to transmit data or video, nor is it designed to corrupt data, files or programs on the infected computer.  Our tools and processes detect this type of malware as soon as it appears on the system, preventing further reach. </w:t>
      </w:r>
    </w:p>
    <w:p w:rsidR="004E05CD" w:rsidRPr="004E05CD" w:rsidRDefault="004E05CD" w:rsidP="004E05CD">
      <w:pPr>
        <w:rPr>
          <w:sz w:val="22"/>
          <w:szCs w:val="22"/>
        </w:rPr>
      </w:pPr>
    </w:p>
    <w:p w:rsidR="004E05CD" w:rsidRDefault="004E05CD" w:rsidP="004E05CD">
      <w:pPr>
        <w:rPr>
          <w:sz w:val="22"/>
          <w:szCs w:val="22"/>
        </w:rPr>
      </w:pPr>
      <w:r w:rsidRPr="004E05CD">
        <w:rPr>
          <w:sz w:val="22"/>
          <w:szCs w:val="22"/>
        </w:rPr>
        <w:t>The infected computers were part of the ground control system that supports RPA operations.  The ground system is separate from the flight control system Air Force pilots use to fly the aircraft remotely; the ability of the RPA pilots to safely fly these aircraft remained secure throughout the incident.</w:t>
      </w:r>
    </w:p>
    <w:p w:rsidR="004E05CD" w:rsidRPr="004E05CD" w:rsidRDefault="004E05CD" w:rsidP="004E05CD">
      <w:pPr>
        <w:rPr>
          <w:sz w:val="22"/>
          <w:szCs w:val="22"/>
        </w:rPr>
      </w:pPr>
    </w:p>
    <w:p w:rsidR="004E05CD" w:rsidRDefault="004E05CD" w:rsidP="004E05CD">
      <w:pPr>
        <w:rPr>
          <w:sz w:val="22"/>
          <w:szCs w:val="22"/>
        </w:rPr>
      </w:pPr>
      <w:r w:rsidRPr="004E05CD">
        <w:rPr>
          <w:sz w:val="22"/>
          <w:szCs w:val="22"/>
        </w:rPr>
        <w:t>“</w:t>
      </w:r>
      <w:proofErr w:type="gramStart"/>
      <w:r w:rsidRPr="004E05CD">
        <w:rPr>
          <w:sz w:val="22"/>
          <w:szCs w:val="22"/>
        </w:rPr>
        <w:t>It’s</w:t>
      </w:r>
      <w:proofErr w:type="gramEnd"/>
      <w:r w:rsidRPr="004E05CD">
        <w:rPr>
          <w:sz w:val="22"/>
          <w:szCs w:val="22"/>
        </w:rPr>
        <w:t xml:space="preserve"> standard policy not to discuss the operational status of our forces,” said Colonel Kathleen Cook, spokesperson for Air Force Space Command.  “However, we felt it important to declassify portions of the information associated with this event to ensure the public understands that the detected and quarantined virus posed no threat to our operational mission and that control of our remotely piloted aircraft was never in question.”</w:t>
      </w:r>
    </w:p>
    <w:p w:rsidR="004E05CD" w:rsidRPr="004E05CD" w:rsidRDefault="004E05CD" w:rsidP="004E05CD">
      <w:pPr>
        <w:rPr>
          <w:sz w:val="22"/>
          <w:szCs w:val="22"/>
        </w:rPr>
      </w:pPr>
    </w:p>
    <w:p w:rsidR="005C6F23" w:rsidRDefault="004E05CD" w:rsidP="004E05CD">
      <w:pPr>
        <w:rPr>
          <w:sz w:val="22"/>
          <w:szCs w:val="22"/>
        </w:rPr>
      </w:pPr>
      <w:r w:rsidRPr="004E05CD">
        <w:rPr>
          <w:sz w:val="22"/>
          <w:szCs w:val="22"/>
        </w:rPr>
        <w:t>“We continue to strengthen our cyber defenses, using the latest anti-virus software and other methods to protect Air Force resources and assure our ability to execute Air Force missions.  Continued education and training of all users will also help reduce the threat of malware to Department of Defense systems.”</w:t>
      </w:r>
    </w:p>
    <w:p w:rsidR="004E05CD" w:rsidRPr="00BE3B39" w:rsidRDefault="004E05CD" w:rsidP="004E05CD">
      <w:pPr>
        <w:rPr>
          <w:rStyle w:val="maintextlarge"/>
          <w:color w:val="000000"/>
          <w:sz w:val="22"/>
          <w:szCs w:val="22"/>
        </w:rPr>
      </w:pPr>
    </w:p>
    <w:p w:rsidR="004E05CD" w:rsidRDefault="005C6F23" w:rsidP="004E05CD">
      <w:r w:rsidRPr="006B4934">
        <w:rPr>
          <w:rStyle w:val="maintextlarge"/>
          <w:color w:val="000000"/>
          <w:sz w:val="22"/>
          <w:szCs w:val="22"/>
        </w:rPr>
        <w:t>For more information contact Air Force Space Command Public Affairs at (719) 554-3731.</w:t>
      </w:r>
      <w:r w:rsidR="004E05CD" w:rsidRPr="004E05CD">
        <w:t xml:space="preserve"> </w:t>
      </w:r>
    </w:p>
    <w:p w:rsidR="004E05CD" w:rsidRDefault="004E05CD" w:rsidP="005C6F23">
      <w:pPr>
        <w:spacing w:line="480" w:lineRule="auto"/>
        <w:ind w:firstLine="720"/>
        <w:jc w:val="center"/>
        <w:rPr>
          <w:rStyle w:val="maintextlarge"/>
          <w:color w:val="000000"/>
          <w:sz w:val="22"/>
          <w:szCs w:val="22"/>
        </w:rPr>
      </w:pPr>
    </w:p>
    <w:p w:rsidR="005C6F23" w:rsidRPr="00BE3B39" w:rsidRDefault="005C6F23" w:rsidP="005C6F23">
      <w:pPr>
        <w:spacing w:line="480" w:lineRule="auto"/>
        <w:ind w:firstLine="720"/>
        <w:jc w:val="center"/>
        <w:rPr>
          <w:sz w:val="22"/>
          <w:szCs w:val="22"/>
        </w:rPr>
      </w:pPr>
      <w:r w:rsidRPr="006B4934">
        <w:rPr>
          <w:rStyle w:val="maintextlarge"/>
          <w:color w:val="000000"/>
          <w:sz w:val="22"/>
          <w:szCs w:val="22"/>
        </w:rPr>
        <w:t>-30-</w:t>
      </w:r>
    </w:p>
    <w:p w:rsidR="005C6F23" w:rsidRPr="00670723" w:rsidRDefault="005C6F23" w:rsidP="00CE0E8B">
      <w:pPr>
        <w:pStyle w:val="BodyTextIndent"/>
        <w:spacing w:line="480" w:lineRule="auto"/>
        <w:ind w:left="0"/>
        <w:rPr>
          <w:sz w:val="22"/>
          <w:szCs w:val="22"/>
        </w:rPr>
      </w:pPr>
    </w:p>
    <w:sectPr w:rsidR="005C6F23" w:rsidRPr="00670723" w:rsidSect="00D82B35">
      <w:pgSz w:w="12240" w:h="15840"/>
      <w:pgMar w:top="1152" w:right="1800" w:bottom="245"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A7425"/>
    <w:multiLevelType w:val="hybridMultilevel"/>
    <w:tmpl w:val="F2DC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166A8"/>
    <w:multiLevelType w:val="hybridMultilevel"/>
    <w:tmpl w:val="2FB205EA"/>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726066"/>
    <w:rsid w:val="00030B50"/>
    <w:rsid w:val="000331E2"/>
    <w:rsid w:val="000609EE"/>
    <w:rsid w:val="00061A8E"/>
    <w:rsid w:val="00064BA0"/>
    <w:rsid w:val="00096B74"/>
    <w:rsid w:val="000C051C"/>
    <w:rsid w:val="001A0BFB"/>
    <w:rsid w:val="001A50F5"/>
    <w:rsid w:val="001E109F"/>
    <w:rsid w:val="002347E5"/>
    <w:rsid w:val="002426E4"/>
    <w:rsid w:val="0025602E"/>
    <w:rsid w:val="00270D65"/>
    <w:rsid w:val="00294B57"/>
    <w:rsid w:val="002E2CC6"/>
    <w:rsid w:val="002E4BED"/>
    <w:rsid w:val="003103C4"/>
    <w:rsid w:val="00330AA3"/>
    <w:rsid w:val="003459D9"/>
    <w:rsid w:val="003752A6"/>
    <w:rsid w:val="003852B8"/>
    <w:rsid w:val="00395839"/>
    <w:rsid w:val="003B5118"/>
    <w:rsid w:val="003D47D4"/>
    <w:rsid w:val="003E2BCC"/>
    <w:rsid w:val="00413673"/>
    <w:rsid w:val="004877DB"/>
    <w:rsid w:val="004A3B9F"/>
    <w:rsid w:val="004B39F0"/>
    <w:rsid w:val="004D35A8"/>
    <w:rsid w:val="004E05CD"/>
    <w:rsid w:val="00506B16"/>
    <w:rsid w:val="00533B06"/>
    <w:rsid w:val="00541D0B"/>
    <w:rsid w:val="0054753A"/>
    <w:rsid w:val="00547C68"/>
    <w:rsid w:val="005641C7"/>
    <w:rsid w:val="005705F4"/>
    <w:rsid w:val="00573EAB"/>
    <w:rsid w:val="00581A3D"/>
    <w:rsid w:val="00594368"/>
    <w:rsid w:val="005A6A9F"/>
    <w:rsid w:val="005C6F23"/>
    <w:rsid w:val="005D1C14"/>
    <w:rsid w:val="005D4F38"/>
    <w:rsid w:val="005F2B69"/>
    <w:rsid w:val="005F33BE"/>
    <w:rsid w:val="00641D1A"/>
    <w:rsid w:val="00645076"/>
    <w:rsid w:val="006574CA"/>
    <w:rsid w:val="006608F7"/>
    <w:rsid w:val="00670723"/>
    <w:rsid w:val="0069497C"/>
    <w:rsid w:val="006B4934"/>
    <w:rsid w:val="006C175D"/>
    <w:rsid w:val="006D02A6"/>
    <w:rsid w:val="0071105F"/>
    <w:rsid w:val="00711832"/>
    <w:rsid w:val="00726066"/>
    <w:rsid w:val="00733ACC"/>
    <w:rsid w:val="00761B03"/>
    <w:rsid w:val="0077400B"/>
    <w:rsid w:val="00794203"/>
    <w:rsid w:val="007C5AC9"/>
    <w:rsid w:val="007F3C7B"/>
    <w:rsid w:val="008037B6"/>
    <w:rsid w:val="0082564F"/>
    <w:rsid w:val="008D5297"/>
    <w:rsid w:val="008E1B96"/>
    <w:rsid w:val="009441FE"/>
    <w:rsid w:val="009E4A38"/>
    <w:rsid w:val="009F2901"/>
    <w:rsid w:val="00A10A41"/>
    <w:rsid w:val="00A26192"/>
    <w:rsid w:val="00A32A95"/>
    <w:rsid w:val="00A430DC"/>
    <w:rsid w:val="00A77E8D"/>
    <w:rsid w:val="00A9500D"/>
    <w:rsid w:val="00AC06B4"/>
    <w:rsid w:val="00AE03FB"/>
    <w:rsid w:val="00B071F0"/>
    <w:rsid w:val="00B124C6"/>
    <w:rsid w:val="00B16687"/>
    <w:rsid w:val="00B207A7"/>
    <w:rsid w:val="00B33E0A"/>
    <w:rsid w:val="00B36886"/>
    <w:rsid w:val="00B44393"/>
    <w:rsid w:val="00B444CA"/>
    <w:rsid w:val="00B70FCD"/>
    <w:rsid w:val="00B735AD"/>
    <w:rsid w:val="00B8592B"/>
    <w:rsid w:val="00B87F5F"/>
    <w:rsid w:val="00B90594"/>
    <w:rsid w:val="00BC77CC"/>
    <w:rsid w:val="00BD7865"/>
    <w:rsid w:val="00BE3B39"/>
    <w:rsid w:val="00C25F6F"/>
    <w:rsid w:val="00C43C83"/>
    <w:rsid w:val="00C522A8"/>
    <w:rsid w:val="00C9190A"/>
    <w:rsid w:val="00C93504"/>
    <w:rsid w:val="00CD3E78"/>
    <w:rsid w:val="00CE06BD"/>
    <w:rsid w:val="00CE0E8B"/>
    <w:rsid w:val="00CF46E7"/>
    <w:rsid w:val="00CF71CE"/>
    <w:rsid w:val="00D01383"/>
    <w:rsid w:val="00D17A93"/>
    <w:rsid w:val="00D47826"/>
    <w:rsid w:val="00D60E24"/>
    <w:rsid w:val="00D76C98"/>
    <w:rsid w:val="00D82B35"/>
    <w:rsid w:val="00D9381A"/>
    <w:rsid w:val="00DA3D1E"/>
    <w:rsid w:val="00DC1AEE"/>
    <w:rsid w:val="00DD15F2"/>
    <w:rsid w:val="00E04C68"/>
    <w:rsid w:val="00E12555"/>
    <w:rsid w:val="00E1747F"/>
    <w:rsid w:val="00E37511"/>
    <w:rsid w:val="00E407E6"/>
    <w:rsid w:val="00E44AA8"/>
    <w:rsid w:val="00E52E0B"/>
    <w:rsid w:val="00E55672"/>
    <w:rsid w:val="00EA4179"/>
    <w:rsid w:val="00EE2BD0"/>
    <w:rsid w:val="00F2055B"/>
    <w:rsid w:val="00F468DB"/>
    <w:rsid w:val="00F62A59"/>
    <w:rsid w:val="00F7445E"/>
    <w:rsid w:val="00F92672"/>
    <w:rsid w:val="00FC5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06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6066"/>
    <w:pPr>
      <w:ind w:left="720"/>
      <w:contextualSpacing/>
    </w:pPr>
  </w:style>
  <w:style w:type="character" w:styleId="Hyperlink">
    <w:name w:val="Hyperlink"/>
    <w:basedOn w:val="DefaultParagraphFont"/>
    <w:uiPriority w:val="99"/>
    <w:unhideWhenUsed/>
    <w:rsid w:val="00726066"/>
    <w:rPr>
      <w:color w:val="0000FF"/>
      <w:u w:val="single"/>
    </w:rPr>
  </w:style>
  <w:style w:type="character" w:customStyle="1" w:styleId="maintextlarge">
    <w:name w:val="maintext_large"/>
    <w:basedOn w:val="DefaultParagraphFont"/>
    <w:rsid w:val="00726066"/>
  </w:style>
  <w:style w:type="paragraph" w:customStyle="1" w:styleId="Default">
    <w:name w:val="Default"/>
    <w:rsid w:val="00726066"/>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AFSPACECOM">
    <w:name w:val="AFSPACECOM"/>
    <w:basedOn w:val="Normal"/>
    <w:rsid w:val="00726066"/>
    <w:pPr>
      <w:pBdr>
        <w:top w:val="single" w:sz="6" w:space="1" w:color="auto"/>
        <w:bottom w:val="single" w:sz="12" w:space="1" w:color="auto"/>
      </w:pBdr>
      <w:spacing w:line="280" w:lineRule="exact"/>
      <w:ind w:firstLine="144"/>
    </w:pPr>
    <w:rPr>
      <w:rFonts w:ascii="Univers (W1)" w:hAnsi="Univers (W1)"/>
      <w:i/>
      <w:spacing w:val="120"/>
      <w:sz w:val="28"/>
      <w:szCs w:val="20"/>
    </w:rPr>
  </w:style>
  <w:style w:type="paragraph" w:customStyle="1" w:styleId="PRODUCT">
    <w:name w:val="PRODUCT"/>
    <w:basedOn w:val="Normal"/>
    <w:rsid w:val="00726066"/>
    <w:pPr>
      <w:tabs>
        <w:tab w:val="right" w:pos="8064"/>
        <w:tab w:val="right" w:pos="8280"/>
      </w:tabs>
      <w:spacing w:before="360" w:line="540" w:lineRule="exact"/>
      <w:ind w:firstLine="72"/>
    </w:pPr>
    <w:rPr>
      <w:b/>
      <w:sz w:val="72"/>
      <w:szCs w:val="20"/>
    </w:rPr>
  </w:style>
  <w:style w:type="paragraph" w:customStyle="1" w:styleId="Folio">
    <w:name w:val="Folio"/>
    <w:basedOn w:val="Normal"/>
    <w:rsid w:val="00726066"/>
    <w:pPr>
      <w:spacing w:before="60" w:after="360"/>
      <w:ind w:firstLine="144"/>
    </w:pPr>
    <w:rPr>
      <w:rFonts w:ascii="Arial Narrow" w:hAnsi="Arial Narrow"/>
      <w:sz w:val="16"/>
      <w:szCs w:val="20"/>
    </w:rPr>
  </w:style>
  <w:style w:type="paragraph" w:styleId="BalloonText">
    <w:name w:val="Balloon Text"/>
    <w:basedOn w:val="Normal"/>
    <w:link w:val="BalloonTextChar"/>
    <w:uiPriority w:val="99"/>
    <w:semiHidden/>
    <w:unhideWhenUsed/>
    <w:rsid w:val="00726066"/>
    <w:rPr>
      <w:rFonts w:ascii="Tahoma" w:hAnsi="Tahoma" w:cs="Tahoma"/>
      <w:sz w:val="16"/>
      <w:szCs w:val="16"/>
    </w:rPr>
  </w:style>
  <w:style w:type="character" w:customStyle="1" w:styleId="BalloonTextChar">
    <w:name w:val="Balloon Text Char"/>
    <w:basedOn w:val="DefaultParagraphFont"/>
    <w:link w:val="BalloonText"/>
    <w:uiPriority w:val="99"/>
    <w:semiHidden/>
    <w:rsid w:val="00726066"/>
    <w:rPr>
      <w:rFonts w:ascii="Tahoma" w:eastAsia="Times New Roman" w:hAnsi="Tahoma" w:cs="Tahoma"/>
      <w:sz w:val="16"/>
      <w:szCs w:val="16"/>
    </w:rPr>
  </w:style>
  <w:style w:type="character" w:customStyle="1" w:styleId="libtext">
    <w:name w:val="libtext"/>
    <w:basedOn w:val="DefaultParagraphFont"/>
    <w:rsid w:val="00AC06B4"/>
  </w:style>
  <w:style w:type="paragraph" w:styleId="PlainText">
    <w:name w:val="Plain Text"/>
    <w:basedOn w:val="Normal"/>
    <w:link w:val="PlainTextChar"/>
    <w:uiPriority w:val="99"/>
    <w:rsid w:val="00B36886"/>
    <w:rPr>
      <w:sz w:val="22"/>
      <w:szCs w:val="22"/>
    </w:rPr>
  </w:style>
  <w:style w:type="character" w:customStyle="1" w:styleId="PlainTextChar">
    <w:name w:val="Plain Text Char"/>
    <w:basedOn w:val="DefaultParagraphFont"/>
    <w:link w:val="PlainText"/>
    <w:uiPriority w:val="99"/>
    <w:rsid w:val="00B36886"/>
    <w:rPr>
      <w:rFonts w:ascii="Times New Roman" w:eastAsia="Times New Roman" w:hAnsi="Times New Roman" w:cs="Times New Roman"/>
    </w:rPr>
  </w:style>
  <w:style w:type="paragraph" w:styleId="BodyTextIndent">
    <w:name w:val="Body Text Indent"/>
    <w:basedOn w:val="Normal"/>
    <w:link w:val="BodyTextIndentChar"/>
    <w:semiHidden/>
    <w:rsid w:val="005C6F23"/>
    <w:pPr>
      <w:ind w:left="3060"/>
    </w:pPr>
    <w:rPr>
      <w:szCs w:val="20"/>
    </w:rPr>
  </w:style>
  <w:style w:type="character" w:customStyle="1" w:styleId="BodyTextIndentChar">
    <w:name w:val="Body Text Indent Char"/>
    <w:basedOn w:val="DefaultParagraphFont"/>
    <w:link w:val="BodyTextIndent"/>
    <w:semiHidden/>
    <w:rsid w:val="005C6F23"/>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5C6F23"/>
    <w:pPr>
      <w:ind w:firstLine="720"/>
    </w:pPr>
    <w:rPr>
      <w:rFonts w:ascii="Arial" w:hAnsi="Arial"/>
      <w:sz w:val="22"/>
      <w:szCs w:val="20"/>
    </w:rPr>
  </w:style>
  <w:style w:type="character" w:customStyle="1" w:styleId="BodyTextIndent3Char">
    <w:name w:val="Body Text Indent 3 Char"/>
    <w:basedOn w:val="DefaultParagraphFont"/>
    <w:link w:val="BodyTextIndent3"/>
    <w:semiHidden/>
    <w:rsid w:val="005C6F23"/>
    <w:rPr>
      <w:rFonts w:ascii="Arial" w:eastAsia="Times New Roman" w:hAnsi="Arial" w:cs="Times New Roman"/>
      <w:szCs w:val="20"/>
    </w:rPr>
  </w:style>
  <w:style w:type="character" w:styleId="Strong">
    <w:name w:val="Strong"/>
    <w:basedOn w:val="DefaultParagraphFont"/>
    <w:uiPriority w:val="22"/>
    <w:qFormat/>
    <w:rsid w:val="00F9267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62D2-C654-4C6B-A1C2-C06F4111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hoggattc</dc:creator>
  <cp:lastModifiedBy>hillmanv</cp:lastModifiedBy>
  <cp:revision>2</cp:revision>
  <cp:lastPrinted>2010-05-13T14:50:00Z</cp:lastPrinted>
  <dcterms:created xsi:type="dcterms:W3CDTF">2011-10-12T22:23:00Z</dcterms:created>
  <dcterms:modified xsi:type="dcterms:W3CDTF">2011-10-12T22:23:00Z</dcterms:modified>
</cp:coreProperties>
</file>